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64986F6C" w:rsidR="00116B51" w:rsidRPr="00DA12F7" w:rsidRDefault="00116B51" w:rsidP="00116B51">
      <w:pPr>
        <w:tabs>
          <w:tab w:val="right" w:pos="9630"/>
        </w:tabs>
        <w:spacing w:after="0"/>
      </w:pPr>
      <w:r w:rsidRPr="00DA12F7">
        <w:rPr>
          <w:rFonts w:ascii="Arial" w:hAnsi="Arial" w:cs="Arial"/>
          <w:b/>
          <w:sz w:val="24"/>
        </w:rPr>
        <w:t>3GPP TSG RAN WG1 #</w:t>
      </w:r>
      <w:r w:rsidR="004A7390">
        <w:rPr>
          <w:rFonts w:ascii="Arial" w:hAnsi="Arial" w:cs="Arial"/>
          <w:b/>
          <w:sz w:val="24"/>
        </w:rPr>
        <w:t>88</w:t>
      </w:r>
      <w:r w:rsidRPr="00DA12F7">
        <w:rPr>
          <w:rFonts w:ascii="Arial" w:hAnsi="Arial" w:cs="Arial"/>
          <w:b/>
          <w:sz w:val="24"/>
        </w:rPr>
        <w:tab/>
        <w:t>R1-</w:t>
      </w:r>
      <w:r w:rsidR="004A7390">
        <w:rPr>
          <w:rFonts w:ascii="Arial" w:hAnsi="Arial" w:cs="Arial"/>
          <w:b/>
          <w:sz w:val="24"/>
        </w:rPr>
        <w:t>17</w:t>
      </w:r>
      <w:r w:rsidR="00E7370D">
        <w:rPr>
          <w:rFonts w:ascii="Arial" w:hAnsi="Arial" w:cs="Arial"/>
          <w:b/>
          <w:sz w:val="24"/>
        </w:rPr>
        <w:t>02627</w:t>
      </w:r>
    </w:p>
    <w:p w14:paraId="50FFBAF8" w14:textId="2706B08C" w:rsidR="00116B51" w:rsidRPr="00DA12F7" w:rsidRDefault="00961D3F" w:rsidP="00116B51">
      <w:pPr>
        <w:tabs>
          <w:tab w:val="right" w:pos="9630"/>
        </w:tabs>
        <w:spacing w:after="0"/>
        <w:rPr>
          <w:rFonts w:ascii="Arial" w:hAnsi="Arial" w:cs="Arial"/>
          <w:b/>
          <w:sz w:val="24"/>
          <w:szCs w:val="24"/>
        </w:rPr>
      </w:pPr>
      <w:r>
        <w:rPr>
          <w:rFonts w:ascii="Arial" w:hAnsi="Arial" w:cs="Arial"/>
          <w:b/>
          <w:sz w:val="24"/>
          <w:szCs w:val="24"/>
        </w:rPr>
        <w:t>February</w:t>
      </w:r>
      <w:r w:rsidR="00116B51">
        <w:rPr>
          <w:rFonts w:ascii="Arial" w:hAnsi="Arial" w:cs="Arial"/>
          <w:b/>
          <w:sz w:val="24"/>
          <w:szCs w:val="24"/>
        </w:rPr>
        <w:t xml:space="preserve"> </w:t>
      </w:r>
      <w:r w:rsidR="00FE6782">
        <w:rPr>
          <w:rFonts w:ascii="Arial" w:hAnsi="Arial" w:cs="Arial"/>
          <w:b/>
          <w:sz w:val="24"/>
          <w:szCs w:val="24"/>
        </w:rPr>
        <w:t>1</w:t>
      </w:r>
      <w:r w:rsidR="004A7390">
        <w:rPr>
          <w:rFonts w:ascii="Arial" w:hAnsi="Arial" w:cs="Arial"/>
          <w:b/>
          <w:sz w:val="24"/>
          <w:szCs w:val="24"/>
        </w:rPr>
        <w:t>3</w:t>
      </w:r>
      <w:r w:rsidR="00FE6782" w:rsidRPr="00FE6782">
        <w:rPr>
          <w:rFonts w:ascii="Arial" w:hAnsi="Arial" w:cs="Arial"/>
          <w:b/>
          <w:sz w:val="24"/>
          <w:szCs w:val="24"/>
          <w:vertAlign w:val="superscript"/>
        </w:rPr>
        <w:t>th</w:t>
      </w:r>
      <w:r w:rsidR="00FE6782">
        <w:rPr>
          <w:rFonts w:ascii="Arial" w:hAnsi="Arial" w:cs="Arial"/>
          <w:b/>
          <w:sz w:val="24"/>
          <w:szCs w:val="24"/>
        </w:rPr>
        <w:t xml:space="preserve"> – 1</w:t>
      </w:r>
      <w:r w:rsidR="004A7390">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3114C16E" w:rsidR="00116B51" w:rsidRPr="00DA12F7" w:rsidRDefault="004A7390" w:rsidP="00116B51">
      <w:pPr>
        <w:rPr>
          <w:rFonts w:ascii="Arial" w:hAnsi="Arial" w:cs="Arial"/>
          <w:b/>
          <w:sz w:val="24"/>
          <w:szCs w:val="24"/>
        </w:rPr>
      </w:pPr>
      <w:r>
        <w:rPr>
          <w:rFonts w:ascii="Arial" w:hAnsi="Arial" w:cs="Arial"/>
          <w:b/>
          <w:sz w:val="24"/>
          <w:szCs w:val="24"/>
        </w:rPr>
        <w:t>Athens</w:t>
      </w:r>
      <w:r w:rsidR="00116B51">
        <w:rPr>
          <w:rFonts w:ascii="Arial" w:hAnsi="Arial" w:cs="Arial"/>
          <w:b/>
          <w:sz w:val="24"/>
          <w:szCs w:val="24"/>
        </w:rPr>
        <w:t xml:space="preserve">, </w:t>
      </w:r>
      <w:r>
        <w:rPr>
          <w:rFonts w:ascii="Arial" w:hAnsi="Arial" w:cs="Arial"/>
          <w:b/>
          <w:sz w:val="24"/>
          <w:szCs w:val="24"/>
        </w:rPr>
        <w:t>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BC54D68"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FF4FC8">
        <w:rPr>
          <w:rFonts w:ascii="Arial" w:hAnsi="Arial"/>
          <w:sz w:val="24"/>
        </w:rPr>
        <w:t>8.1.3.1.</w:t>
      </w:r>
      <w:r w:rsidR="00D05BC3">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256068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F4FC8" w:rsidRPr="00FF4FC8">
        <w:rPr>
          <w:rFonts w:ascii="Arial" w:hAnsi="Arial"/>
          <w:sz w:val="24"/>
        </w:rPr>
        <w:t>PDCCH structure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23D45FE8" w:rsidR="00491EEE" w:rsidRDefault="00FD6A3D" w:rsidP="00491EEE">
      <w:pPr>
        <w:pStyle w:val="Heading1"/>
      </w:pPr>
      <w:r w:rsidRPr="00CC27F5">
        <w:t>1</w:t>
      </w:r>
      <w:r w:rsidRPr="00CC27F5">
        <w:tab/>
      </w:r>
      <w:r w:rsidR="00B209B5" w:rsidRPr="00CC27F5">
        <w:t>Introduction</w:t>
      </w:r>
    </w:p>
    <w:p w14:paraId="25701522" w14:textId="220C8EAB" w:rsidR="00093582" w:rsidRPr="00093582" w:rsidRDefault="00093582" w:rsidP="00093582">
      <w:pPr>
        <w:rPr>
          <w:lang w:val="en-GB"/>
        </w:rPr>
      </w:pPr>
      <w:r>
        <w:rPr>
          <w:lang w:val="en-GB"/>
        </w:rPr>
        <w:t>In NR AdHoc #1, the following agreement was reached:</w:t>
      </w:r>
    </w:p>
    <w:p w14:paraId="46686A7B" w14:textId="77777777" w:rsidR="00093582" w:rsidRPr="00D74F6D" w:rsidRDefault="00093582" w:rsidP="00093582">
      <w:pPr>
        <w:rPr>
          <w:rFonts w:eastAsia="MS Mincho" w:cs="Arial"/>
          <w:b/>
          <w:szCs w:val="16"/>
          <w:u w:val="single"/>
          <w:lang w:eastAsia="ja-JP"/>
        </w:rPr>
      </w:pPr>
      <w:r w:rsidRPr="00D74F6D">
        <w:rPr>
          <w:rFonts w:eastAsia="MS Mincho" w:cs="Arial"/>
          <w:b/>
          <w:szCs w:val="16"/>
          <w:highlight w:val="green"/>
          <w:u w:val="single"/>
          <w:lang w:eastAsia="ja-JP"/>
        </w:rPr>
        <w:t>Agreements:</w:t>
      </w:r>
    </w:p>
    <w:p w14:paraId="2EC9D709" w14:textId="77777777" w:rsidR="00093582" w:rsidRPr="00D74F6D" w:rsidRDefault="00093582" w:rsidP="00093582">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 xml:space="preserve">Each candidate of NR DL Control channel search space is composed by </w:t>
      </w:r>
      <w:r w:rsidRPr="00D74F6D">
        <w:rPr>
          <w:rFonts w:eastAsia="MS Mincho" w:cs="Arial"/>
          <w:i/>
          <w:iCs/>
          <w:szCs w:val="16"/>
          <w:lang w:eastAsia="ja-JP"/>
        </w:rPr>
        <w:t>K</w:t>
      </w:r>
      <w:r w:rsidRPr="00D74F6D">
        <w:rPr>
          <w:rFonts w:eastAsia="MS Mincho" w:cs="Arial"/>
          <w:szCs w:val="16"/>
          <w:lang w:eastAsia="ja-JP"/>
        </w:rPr>
        <w:t xml:space="preserve"> NR-CCE(s)</w:t>
      </w:r>
    </w:p>
    <w:p w14:paraId="104B52C2" w14:textId="77777777" w:rsidR="00093582" w:rsidRPr="00D74F6D" w:rsidRDefault="00093582" w:rsidP="00093582">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A NR-CCE is defined in fixed number of REGs</w:t>
      </w:r>
    </w:p>
    <w:p w14:paraId="34B291D4" w14:textId="77777777" w:rsidR="00093582" w:rsidRPr="00D74F6D" w:rsidRDefault="00093582" w:rsidP="00093582">
      <w:pPr>
        <w:numPr>
          <w:ilvl w:val="2"/>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Different REGs can be in the same or different symbols depending on REG to NR-CCE mapping</w:t>
      </w:r>
    </w:p>
    <w:p w14:paraId="41913214" w14:textId="77777777" w:rsidR="00093582" w:rsidRPr="00D74F6D" w:rsidRDefault="00093582" w:rsidP="00093582">
      <w:pPr>
        <w:numPr>
          <w:ilvl w:val="2"/>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NR-CCE includes the REs assumed for UE-specific DMRS to demodulate that NR-CCE</w:t>
      </w:r>
    </w:p>
    <w:p w14:paraId="7A3B0EB7" w14:textId="77777777" w:rsidR="00093582" w:rsidRPr="00D74F6D" w:rsidRDefault="00093582" w:rsidP="00093582">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REG to NR-CCE mapping within a control resource set is frequency first, time first or gNB configurable</w:t>
      </w:r>
    </w:p>
    <w:p w14:paraId="46B0806F" w14:textId="77777777" w:rsidR="00093582" w:rsidRPr="00D74F6D" w:rsidRDefault="00093582" w:rsidP="00093582">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Down selection of REG to NR-CCE mapping</w:t>
      </w:r>
    </w:p>
    <w:p w14:paraId="7C3C0933" w14:textId="77777777" w:rsidR="00093582" w:rsidRPr="00D74F6D" w:rsidRDefault="00093582" w:rsidP="00093582">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E.g. </w:t>
      </w:r>
      <w:r w:rsidRPr="00D74F6D">
        <w:rPr>
          <w:rFonts w:eastAsia="MS Mincho" w:cs="Arial"/>
          <w:i/>
          <w:iCs/>
          <w:szCs w:val="16"/>
          <w:lang w:eastAsia="ja-JP"/>
        </w:rPr>
        <w:t>K</w:t>
      </w:r>
      <w:r w:rsidRPr="00D74F6D">
        <w:rPr>
          <w:rFonts w:eastAsia="MS Mincho" w:cs="Arial"/>
          <w:szCs w:val="16"/>
          <w:lang w:eastAsia="ja-JP"/>
        </w:rPr>
        <w:t> can be 1, 2, 4, or 8, etc</w:t>
      </w:r>
    </w:p>
    <w:p w14:paraId="56F9C269" w14:textId="77777777" w:rsidR="00093582" w:rsidRDefault="00093582" w:rsidP="00093582"/>
    <w:p w14:paraId="5F48082F" w14:textId="711BE0E9" w:rsidR="00093582" w:rsidRPr="00093582" w:rsidRDefault="00093582" w:rsidP="00093582">
      <w:r>
        <w:t>In this paper, we further discuss the design REG to NR-CCE mapping and NR-CCE to NR DL control channel candidate mapping.</w:t>
      </w:r>
    </w:p>
    <w:p w14:paraId="488AD007" w14:textId="3F27B7BF" w:rsidR="00491EEE" w:rsidRDefault="00491EEE" w:rsidP="00F30894">
      <w:pPr>
        <w:pStyle w:val="Heading1"/>
        <w:jc w:val="both"/>
      </w:pPr>
      <w:r w:rsidRPr="00CC27F5">
        <w:t>2</w:t>
      </w:r>
      <w:r w:rsidRPr="00CC27F5">
        <w:tab/>
      </w:r>
      <w:r w:rsidR="004A7390">
        <w:t>Discussion</w:t>
      </w:r>
    </w:p>
    <w:p w14:paraId="5094C605" w14:textId="19336776" w:rsidR="0075170D" w:rsidRDefault="006F61B8" w:rsidP="0075170D">
      <w:pPr>
        <w:rPr>
          <w:lang w:val="en-GB"/>
        </w:rPr>
      </w:pPr>
      <w:r w:rsidRPr="006F61B8">
        <w:rPr>
          <w:lang w:val="en-GB"/>
        </w:rPr>
        <w:t xml:space="preserve">For </w:t>
      </w:r>
      <w:r>
        <w:rPr>
          <w:lang w:val="en-GB"/>
        </w:rPr>
        <w:t>PDCCH structure, we need to consider REG to CCE mapping and CCE to PDCCH mapping. It was already agreed that each REG is one PRB in one OFDM symbol, and each CCE is a fixed number of REGs</w:t>
      </w:r>
      <w:r w:rsidR="00990010">
        <w:rPr>
          <w:lang w:val="en-GB"/>
        </w:rPr>
        <w:t>. However, there are still multiple design options for each of these mappings.</w:t>
      </w:r>
    </w:p>
    <w:p w14:paraId="3E797AED" w14:textId="7BACB8A5" w:rsidR="00990010" w:rsidRDefault="000C0866" w:rsidP="000C0866">
      <w:r>
        <w:rPr>
          <w:lang w:val="en-GB"/>
        </w:rPr>
        <w:t>I</w:t>
      </w:r>
      <w:r w:rsidR="00990010">
        <w:rPr>
          <w:lang w:val="en-GB"/>
        </w:rPr>
        <w:t xml:space="preserve">f there in only one control OFDM symbol, </w:t>
      </w:r>
      <w:r>
        <w:rPr>
          <w:lang w:val="en-GB"/>
        </w:rPr>
        <w:t xml:space="preserve">both REG to CCE mapping and the CCE to PDCCH mapping can only be frequency first. </w:t>
      </w:r>
      <w:r w:rsidR="00990010">
        <w:rPr>
          <w:lang w:val="en-GB"/>
        </w:rPr>
        <w:t>However, when there are more than one control OFDM symbol, we have two choices</w:t>
      </w:r>
      <w:r>
        <w:rPr>
          <w:lang w:val="en-GB"/>
        </w:rPr>
        <w:t xml:space="preserve"> for REG to CCE mapping</w:t>
      </w:r>
      <w:r w:rsidR="00990010">
        <w:rPr>
          <w:lang w:val="en-GB"/>
        </w:rPr>
        <w:t xml:space="preserve">: </w:t>
      </w:r>
      <w:r w:rsidR="00990010" w:rsidRPr="00990010">
        <w:t>Frequency first, time second</w:t>
      </w:r>
      <w:r>
        <w:t xml:space="preserve"> or t</w:t>
      </w:r>
      <w:r w:rsidR="00990010" w:rsidRPr="00990010">
        <w:t>ime first, frequency second</w:t>
      </w:r>
      <w:r>
        <w:t>.</w:t>
      </w:r>
    </w:p>
    <w:p w14:paraId="0C9D0C21" w14:textId="4F185221" w:rsidR="000C0866" w:rsidRDefault="000C0866" w:rsidP="000C0866">
      <w:pPr>
        <w:pStyle w:val="bullet"/>
        <w:numPr>
          <w:ilvl w:val="0"/>
          <w:numId w:val="0"/>
        </w:numPr>
      </w:pPr>
      <w:r>
        <w:t xml:space="preserve">When REG to CCE mapping is time first, for CCE to PDCCH mapping, there is no time first concept anymore. When REG to CCE mapping is frequency first, the CCE to PDCCH mapping still has two choices: </w:t>
      </w:r>
      <w:r w:rsidRPr="00990010">
        <w:t>Frequency first, time second</w:t>
      </w:r>
      <w:r>
        <w:t xml:space="preserve"> or t</w:t>
      </w:r>
      <w:r w:rsidRPr="00990010">
        <w:t>ime first, frequency second</w:t>
      </w:r>
      <w:r>
        <w:t>.</w:t>
      </w:r>
    </w:p>
    <w:p w14:paraId="73139EAB" w14:textId="1E5B9943" w:rsidR="000C0866" w:rsidRDefault="000C0866" w:rsidP="000C0866">
      <w:pPr>
        <w:pStyle w:val="bullet"/>
        <w:numPr>
          <w:ilvl w:val="0"/>
          <w:numId w:val="0"/>
        </w:numPr>
      </w:pPr>
      <w:r>
        <w:t xml:space="preserve">To summarize, </w:t>
      </w:r>
      <w:r w:rsidR="0043198C">
        <w:t>when there are more than one control OFDM symbols, we have the following three options:</w:t>
      </w:r>
    </w:p>
    <w:p w14:paraId="167E778C" w14:textId="1B334CA4" w:rsidR="0043198C" w:rsidRPr="007D606B" w:rsidRDefault="0043198C" w:rsidP="007D606B">
      <w:pPr>
        <w:pStyle w:val="bullet"/>
        <w:ind w:left="360"/>
      </w:pPr>
      <w:r w:rsidRPr="007D606B">
        <w:t>Frequency first – Both REG to CCE mapping and CCE to PDCCH mapping are frequency first</w:t>
      </w:r>
    </w:p>
    <w:p w14:paraId="1A0FF8F0" w14:textId="3FF671DA" w:rsidR="0043198C" w:rsidRPr="007D606B" w:rsidRDefault="0043198C" w:rsidP="007D606B">
      <w:pPr>
        <w:pStyle w:val="bullet"/>
        <w:ind w:left="360"/>
      </w:pPr>
      <w:r w:rsidRPr="007D606B">
        <w:t>Time first – REG to CCE mapping is time first, and CCE to PDCCH mapping goes in frequency direction</w:t>
      </w:r>
    </w:p>
    <w:p w14:paraId="6C7A9E18" w14:textId="7696D0FE" w:rsidR="0043198C" w:rsidRPr="007D606B" w:rsidRDefault="0043198C" w:rsidP="007D606B">
      <w:pPr>
        <w:pStyle w:val="bullet"/>
        <w:ind w:left="360"/>
      </w:pPr>
      <w:r w:rsidRPr="007D606B">
        <w:t>Mixed – REG to CCE mapping is frequency first, but CCE to PDCCH mapping is time first</w:t>
      </w:r>
    </w:p>
    <w:p w14:paraId="7C3FEAC3" w14:textId="68E8212D" w:rsidR="000C0866" w:rsidRDefault="000C0866" w:rsidP="00990010">
      <w:pPr>
        <w:pStyle w:val="bullet"/>
        <w:numPr>
          <w:ilvl w:val="0"/>
          <w:numId w:val="0"/>
        </w:numPr>
      </w:pPr>
      <w:r>
        <w:t xml:space="preserve">If </w:t>
      </w:r>
      <w:r w:rsidR="0043198C">
        <w:t>different mappings</w:t>
      </w:r>
      <w:r>
        <w:t xml:space="preserve"> coexist in the same </w:t>
      </w:r>
      <w:r w:rsidR="003400C7">
        <w:t>control resource set (CORESET)</w:t>
      </w:r>
      <w:r>
        <w:t xml:space="preserve">, it may cause higher level of blocking issues, as one frequency first PDCCH may block multiple time first </w:t>
      </w:r>
      <w:r w:rsidR="0043198C">
        <w:t xml:space="preserve">or mixed </w:t>
      </w:r>
      <w:r>
        <w:t>PDCCH</w:t>
      </w:r>
      <w:r w:rsidR="0043198C">
        <w:t>s.</w:t>
      </w:r>
    </w:p>
    <w:p w14:paraId="6F4E8B5F" w14:textId="6D0409BD" w:rsidR="0043198C" w:rsidRPr="0043198C" w:rsidRDefault="0043198C" w:rsidP="00990010">
      <w:pPr>
        <w:pStyle w:val="bullet"/>
        <w:numPr>
          <w:ilvl w:val="0"/>
          <w:numId w:val="0"/>
        </w:numPr>
        <w:rPr>
          <w:b/>
        </w:rPr>
      </w:pPr>
      <w:bookmarkStart w:id="2" w:name="p1"/>
      <w:r w:rsidRPr="0043198C">
        <w:rPr>
          <w:b/>
        </w:rPr>
        <w:t xml:space="preserve">Proposal </w:t>
      </w:r>
      <w:r w:rsidRPr="0043198C">
        <w:rPr>
          <w:b/>
        </w:rPr>
        <w:fldChar w:fldCharType="begin"/>
      </w:r>
      <w:r w:rsidRPr="0043198C">
        <w:rPr>
          <w:b/>
        </w:rPr>
        <w:instrText xml:space="preserve"> seq prop </w:instrText>
      </w:r>
      <w:r w:rsidRPr="0043198C">
        <w:rPr>
          <w:b/>
        </w:rPr>
        <w:fldChar w:fldCharType="separate"/>
      </w:r>
      <w:r w:rsidRPr="0043198C">
        <w:rPr>
          <w:b/>
          <w:noProof/>
        </w:rPr>
        <w:t>1</w:t>
      </w:r>
      <w:r w:rsidRPr="0043198C">
        <w:rPr>
          <w:b/>
        </w:rPr>
        <w:fldChar w:fldCharType="end"/>
      </w:r>
      <w:r w:rsidRPr="0043198C">
        <w:rPr>
          <w:b/>
        </w:rPr>
        <w:t>. The same REG to CCE to PD</w:t>
      </w:r>
      <w:r w:rsidR="007D606B">
        <w:rPr>
          <w:b/>
        </w:rPr>
        <w:t>CCH mapping is used in a control resource set</w:t>
      </w:r>
      <w:r w:rsidRPr="0043198C">
        <w:rPr>
          <w:b/>
        </w:rPr>
        <w:t>.</w:t>
      </w:r>
    </w:p>
    <w:bookmarkEnd w:id="2"/>
    <w:p w14:paraId="06E0897B" w14:textId="3440F602" w:rsidR="008E4C61" w:rsidRDefault="008E4C61" w:rsidP="00990010">
      <w:pPr>
        <w:pStyle w:val="bullet"/>
        <w:numPr>
          <w:ilvl w:val="0"/>
          <w:numId w:val="0"/>
        </w:numPr>
      </w:pPr>
      <w:r>
        <w:t xml:space="preserve">These </w:t>
      </w:r>
      <w:r w:rsidR="0043198C">
        <w:t>different options</w:t>
      </w:r>
      <w:r>
        <w:t xml:space="preserve"> have their pros and cons and are compared in </w:t>
      </w:r>
      <w:r w:rsidR="003400C7">
        <w:t>Table 1</w:t>
      </w:r>
      <w:r>
        <w:t>.</w:t>
      </w:r>
    </w:p>
    <w:p w14:paraId="19168164" w14:textId="27C1DA07" w:rsidR="0014082B" w:rsidRDefault="0014082B" w:rsidP="0014082B">
      <w:pPr>
        <w:pStyle w:val="Caption"/>
      </w:pPr>
      <w:r>
        <w:lastRenderedPageBreak/>
        <w:t xml:space="preserve">Table </w:t>
      </w:r>
      <w:fldSimple w:instr=" SEQ Table \* ARABIC ">
        <w:r>
          <w:rPr>
            <w:noProof/>
          </w:rPr>
          <w:t>1</w:t>
        </w:r>
      </w:fldSimple>
      <w:r>
        <w:t>. Comparison of different REG to CCE mapping</w:t>
      </w:r>
    </w:p>
    <w:tbl>
      <w:tblPr>
        <w:tblStyle w:val="TableGrid"/>
        <w:tblW w:w="0" w:type="auto"/>
        <w:tblLook w:val="04A0" w:firstRow="1" w:lastRow="0" w:firstColumn="1" w:lastColumn="0" w:noHBand="0" w:noVBand="1"/>
      </w:tblPr>
      <w:tblGrid>
        <w:gridCol w:w="1713"/>
        <w:gridCol w:w="2587"/>
        <w:gridCol w:w="2825"/>
        <w:gridCol w:w="2504"/>
      </w:tblGrid>
      <w:tr w:rsidR="0043198C" w14:paraId="5444EE76" w14:textId="7E0A156B" w:rsidTr="0043198C">
        <w:trPr>
          <w:trHeight w:val="269"/>
        </w:trPr>
        <w:tc>
          <w:tcPr>
            <w:tcW w:w="1713" w:type="dxa"/>
            <w:tcBorders>
              <w:bottom w:val="double" w:sz="4" w:space="0" w:color="auto"/>
            </w:tcBorders>
          </w:tcPr>
          <w:p w14:paraId="1DC1E675" w14:textId="77777777" w:rsidR="0043198C" w:rsidRDefault="0043198C" w:rsidP="0043198C">
            <w:pPr>
              <w:pStyle w:val="bullet"/>
              <w:numPr>
                <w:ilvl w:val="0"/>
                <w:numId w:val="0"/>
              </w:numPr>
              <w:spacing w:before="0" w:after="0"/>
            </w:pPr>
          </w:p>
        </w:tc>
        <w:tc>
          <w:tcPr>
            <w:tcW w:w="2587" w:type="dxa"/>
            <w:tcBorders>
              <w:bottom w:val="double" w:sz="4" w:space="0" w:color="auto"/>
            </w:tcBorders>
          </w:tcPr>
          <w:p w14:paraId="32B2C842" w14:textId="512A0859" w:rsidR="0043198C" w:rsidRDefault="0043198C" w:rsidP="0043198C">
            <w:pPr>
              <w:pStyle w:val="bullet"/>
              <w:numPr>
                <w:ilvl w:val="0"/>
                <w:numId w:val="0"/>
              </w:numPr>
              <w:spacing w:before="0" w:after="0"/>
            </w:pPr>
            <w:r>
              <w:t>Frequency first approach</w:t>
            </w:r>
          </w:p>
        </w:tc>
        <w:tc>
          <w:tcPr>
            <w:tcW w:w="2825" w:type="dxa"/>
            <w:tcBorders>
              <w:bottom w:val="double" w:sz="4" w:space="0" w:color="auto"/>
            </w:tcBorders>
          </w:tcPr>
          <w:p w14:paraId="0FB956D5" w14:textId="7098683D" w:rsidR="0043198C" w:rsidRDefault="0043198C" w:rsidP="0043198C">
            <w:pPr>
              <w:pStyle w:val="bullet"/>
              <w:numPr>
                <w:ilvl w:val="0"/>
                <w:numId w:val="0"/>
              </w:numPr>
              <w:spacing w:before="0" w:after="0"/>
            </w:pPr>
            <w:r>
              <w:t>Time first approach</w:t>
            </w:r>
          </w:p>
        </w:tc>
        <w:tc>
          <w:tcPr>
            <w:tcW w:w="2504" w:type="dxa"/>
            <w:tcBorders>
              <w:bottom w:val="double" w:sz="4" w:space="0" w:color="auto"/>
            </w:tcBorders>
          </w:tcPr>
          <w:p w14:paraId="63E4947E" w14:textId="47DB4295" w:rsidR="0043198C" w:rsidRDefault="0043198C" w:rsidP="0043198C">
            <w:pPr>
              <w:pStyle w:val="bullet"/>
              <w:numPr>
                <w:ilvl w:val="0"/>
                <w:numId w:val="0"/>
              </w:numPr>
              <w:spacing w:before="0" w:after="0"/>
            </w:pPr>
            <w:r>
              <w:t>Mixed approach</w:t>
            </w:r>
          </w:p>
        </w:tc>
      </w:tr>
      <w:tr w:rsidR="0043198C" w14:paraId="47EE6E34" w14:textId="532191E5" w:rsidTr="0043198C">
        <w:tc>
          <w:tcPr>
            <w:tcW w:w="1713" w:type="dxa"/>
            <w:tcBorders>
              <w:top w:val="double" w:sz="4" w:space="0" w:color="auto"/>
            </w:tcBorders>
          </w:tcPr>
          <w:p w14:paraId="737D10D6" w14:textId="31E3FCC9" w:rsidR="0043198C" w:rsidRDefault="0043198C" w:rsidP="0043198C">
            <w:pPr>
              <w:pStyle w:val="bullet"/>
              <w:numPr>
                <w:ilvl w:val="0"/>
                <w:numId w:val="0"/>
              </w:numPr>
              <w:spacing w:before="0" w:after="0"/>
              <w:jc w:val="left"/>
            </w:pPr>
            <w:r>
              <w:t>Frequency diversity</w:t>
            </w:r>
          </w:p>
        </w:tc>
        <w:tc>
          <w:tcPr>
            <w:tcW w:w="2587" w:type="dxa"/>
            <w:tcBorders>
              <w:top w:val="double" w:sz="4" w:space="0" w:color="auto"/>
            </w:tcBorders>
          </w:tcPr>
          <w:p w14:paraId="1FFBD822" w14:textId="34CA1D12" w:rsidR="0043198C" w:rsidRDefault="0043198C" w:rsidP="0043198C">
            <w:pPr>
              <w:pStyle w:val="bullet"/>
              <w:numPr>
                <w:ilvl w:val="0"/>
                <w:numId w:val="0"/>
              </w:numPr>
              <w:spacing w:before="0" w:after="0"/>
              <w:jc w:val="left"/>
            </w:pPr>
            <w:r>
              <w:t>Higher frequency diversity</w:t>
            </w:r>
            <w:r w:rsidR="00970E72">
              <w:t>.</w:t>
            </w:r>
          </w:p>
        </w:tc>
        <w:tc>
          <w:tcPr>
            <w:tcW w:w="2825" w:type="dxa"/>
            <w:tcBorders>
              <w:top w:val="double" w:sz="4" w:space="0" w:color="auto"/>
            </w:tcBorders>
          </w:tcPr>
          <w:p w14:paraId="1B9F4388" w14:textId="70004761" w:rsidR="0043198C" w:rsidRDefault="0043198C" w:rsidP="0043198C">
            <w:pPr>
              <w:pStyle w:val="bullet"/>
              <w:numPr>
                <w:ilvl w:val="0"/>
                <w:numId w:val="0"/>
              </w:numPr>
              <w:spacing w:before="0" w:after="0"/>
              <w:jc w:val="left"/>
            </w:pPr>
            <w:r>
              <w:t>Lower frequency diversity</w:t>
            </w:r>
            <w:r w:rsidR="00970E72">
              <w:t>.</w:t>
            </w:r>
          </w:p>
        </w:tc>
        <w:tc>
          <w:tcPr>
            <w:tcW w:w="2504" w:type="dxa"/>
            <w:tcBorders>
              <w:top w:val="double" w:sz="4" w:space="0" w:color="auto"/>
            </w:tcBorders>
          </w:tcPr>
          <w:p w14:paraId="49E6DC27" w14:textId="07DFA3E6" w:rsidR="0043198C" w:rsidRDefault="0043198C" w:rsidP="0043198C">
            <w:pPr>
              <w:pStyle w:val="bullet"/>
              <w:numPr>
                <w:ilvl w:val="0"/>
                <w:numId w:val="0"/>
              </w:numPr>
              <w:spacing w:before="0" w:after="0"/>
            </w:pPr>
            <w:r>
              <w:t>For AL1, same frequency diversity as frequency first approach. For higher AL, same diversity as the time first approach</w:t>
            </w:r>
            <w:r w:rsidR="00970E72">
              <w:t>.</w:t>
            </w:r>
          </w:p>
        </w:tc>
      </w:tr>
      <w:tr w:rsidR="0043198C" w14:paraId="321C64A5" w14:textId="38989577" w:rsidTr="0043198C">
        <w:tc>
          <w:tcPr>
            <w:tcW w:w="1713" w:type="dxa"/>
          </w:tcPr>
          <w:p w14:paraId="2106AAC4" w14:textId="57B31B6B" w:rsidR="0043198C" w:rsidRDefault="0043198C" w:rsidP="0043198C">
            <w:pPr>
              <w:pStyle w:val="bullet"/>
              <w:numPr>
                <w:ilvl w:val="0"/>
                <w:numId w:val="0"/>
              </w:numPr>
              <w:spacing w:before="0" w:after="0"/>
              <w:jc w:val="left"/>
            </w:pPr>
            <w:r>
              <w:t>UE processing timeline friendliness</w:t>
            </w:r>
          </w:p>
        </w:tc>
        <w:tc>
          <w:tcPr>
            <w:tcW w:w="2587" w:type="dxa"/>
          </w:tcPr>
          <w:p w14:paraId="17D1EDEF" w14:textId="5F401666" w:rsidR="0043198C" w:rsidRDefault="0043198C" w:rsidP="0043198C">
            <w:pPr>
              <w:pStyle w:val="bullet"/>
              <w:numPr>
                <w:ilvl w:val="0"/>
                <w:numId w:val="0"/>
              </w:numPr>
              <w:spacing w:before="0" w:after="0"/>
              <w:jc w:val="left"/>
            </w:pPr>
            <w:r>
              <w:t>Allows early processing</w:t>
            </w:r>
            <w:r w:rsidR="003400C7">
              <w:t xml:space="preserve"> of DCI on the 1</w:t>
            </w:r>
            <w:r w:rsidR="003400C7" w:rsidRPr="009E34F2">
              <w:rPr>
                <w:vertAlign w:val="superscript"/>
              </w:rPr>
              <w:t>st</w:t>
            </w:r>
            <w:r w:rsidR="003400C7">
              <w:t xml:space="preserve"> symbol</w:t>
            </w:r>
            <w:r>
              <w:t xml:space="preserve"> such that the receiver does not need to wait for the next control OFDM symbols to dispatch the blind decodings for the candidates, if the CCE to PDCCH is also frequency first, and if the DMRS is front loaded</w:t>
            </w:r>
            <w:r w:rsidR="00970E72">
              <w:t>.</w:t>
            </w:r>
          </w:p>
        </w:tc>
        <w:tc>
          <w:tcPr>
            <w:tcW w:w="2825" w:type="dxa"/>
          </w:tcPr>
          <w:p w14:paraId="6BA19D4C" w14:textId="31BCED92" w:rsidR="0043198C" w:rsidRDefault="0043198C" w:rsidP="0043198C">
            <w:pPr>
              <w:pStyle w:val="bullet"/>
              <w:numPr>
                <w:ilvl w:val="0"/>
                <w:numId w:val="0"/>
              </w:numPr>
              <w:spacing w:before="0" w:after="0"/>
              <w:jc w:val="left"/>
            </w:pPr>
            <w:r>
              <w:t>Needs to wait for all the control OFDM symbols to be received to dispatch blind decodes.</w:t>
            </w:r>
          </w:p>
        </w:tc>
        <w:tc>
          <w:tcPr>
            <w:tcW w:w="2504" w:type="dxa"/>
          </w:tcPr>
          <w:p w14:paraId="50AAD324" w14:textId="33389F97" w:rsidR="0043198C" w:rsidRDefault="00970E72" w:rsidP="00970E72">
            <w:pPr>
              <w:pStyle w:val="bullet"/>
              <w:numPr>
                <w:ilvl w:val="0"/>
                <w:numId w:val="0"/>
              </w:numPr>
              <w:spacing w:before="0" w:after="0"/>
            </w:pPr>
            <w:r>
              <w:t>For AL1, early processing is possible. For larger AL, n</w:t>
            </w:r>
            <w:r w:rsidR="0043198C">
              <w:t>eeds to wait for all the control OFDM symbols to be received to dispatch blind decodes.</w:t>
            </w:r>
          </w:p>
        </w:tc>
      </w:tr>
      <w:tr w:rsidR="0043198C" w14:paraId="2F6DC1C6" w14:textId="4472EEE9" w:rsidTr="0043198C">
        <w:tc>
          <w:tcPr>
            <w:tcW w:w="1713" w:type="dxa"/>
          </w:tcPr>
          <w:p w14:paraId="064DE77C" w14:textId="63AA30D1" w:rsidR="0043198C" w:rsidRDefault="0043198C" w:rsidP="0043198C">
            <w:pPr>
              <w:pStyle w:val="bullet"/>
              <w:numPr>
                <w:ilvl w:val="0"/>
                <w:numId w:val="0"/>
              </w:numPr>
              <w:spacing w:before="0" w:after="0"/>
              <w:jc w:val="left"/>
            </w:pPr>
            <w:r>
              <w:t>Front loaded closed loop DMRS support</w:t>
            </w:r>
          </w:p>
        </w:tc>
        <w:tc>
          <w:tcPr>
            <w:tcW w:w="2587" w:type="dxa"/>
          </w:tcPr>
          <w:p w14:paraId="75B635D8" w14:textId="719FBAFF" w:rsidR="0043198C" w:rsidRDefault="0043198C" w:rsidP="0043198C">
            <w:pPr>
              <w:pStyle w:val="bullet"/>
              <w:numPr>
                <w:ilvl w:val="0"/>
                <w:numId w:val="0"/>
              </w:numPr>
              <w:spacing w:before="0" w:after="0"/>
              <w:jc w:val="left"/>
            </w:pPr>
            <w:r>
              <w:t>DMRS sharing in PDCCH is not possible if the same PRB in different OFDM symbols are used in decoding candidates of different UEs beamformed differently.</w:t>
            </w:r>
          </w:p>
        </w:tc>
        <w:tc>
          <w:tcPr>
            <w:tcW w:w="2825" w:type="dxa"/>
          </w:tcPr>
          <w:p w14:paraId="6A3C8957" w14:textId="1E481DB8" w:rsidR="0043198C" w:rsidRDefault="0043198C" w:rsidP="0043198C">
            <w:pPr>
              <w:pStyle w:val="bullet"/>
              <w:numPr>
                <w:ilvl w:val="0"/>
                <w:numId w:val="0"/>
              </w:numPr>
              <w:spacing w:before="0" w:after="0"/>
              <w:jc w:val="left"/>
            </w:pPr>
            <w:r>
              <w:t>Naturally can reuse</w:t>
            </w:r>
            <w:r w:rsidR="00970E72">
              <w:t>.</w:t>
            </w:r>
          </w:p>
        </w:tc>
        <w:tc>
          <w:tcPr>
            <w:tcW w:w="2504" w:type="dxa"/>
          </w:tcPr>
          <w:p w14:paraId="08442A87" w14:textId="4483E27D" w:rsidR="0043198C" w:rsidRDefault="00970E72" w:rsidP="00970E72">
            <w:pPr>
              <w:pStyle w:val="bullet"/>
              <w:numPr>
                <w:ilvl w:val="0"/>
                <w:numId w:val="0"/>
              </w:numPr>
              <w:spacing w:before="0" w:after="0"/>
            </w:pPr>
            <w:r>
              <w:t>For AL1, same problem as frequency first approach. For higher AL, can reuse.</w:t>
            </w:r>
          </w:p>
        </w:tc>
      </w:tr>
      <w:tr w:rsidR="0043198C" w14:paraId="2F3D0C7D" w14:textId="3A203444" w:rsidTr="0043198C">
        <w:tc>
          <w:tcPr>
            <w:tcW w:w="1713" w:type="dxa"/>
          </w:tcPr>
          <w:p w14:paraId="20AF8360" w14:textId="1417C867" w:rsidR="0043198C" w:rsidRPr="0014082B" w:rsidRDefault="0043198C" w:rsidP="0043198C">
            <w:pPr>
              <w:pStyle w:val="bullet"/>
              <w:numPr>
                <w:ilvl w:val="0"/>
                <w:numId w:val="0"/>
              </w:numPr>
              <w:spacing w:before="0" w:after="0"/>
              <w:jc w:val="left"/>
              <w:rPr>
                <w:lang w:val="en-US"/>
              </w:rPr>
            </w:pPr>
            <w:r>
              <w:rPr>
                <w:lang w:val="en-US"/>
              </w:rPr>
              <w:t>Front loaded open loop DMRS support</w:t>
            </w:r>
          </w:p>
        </w:tc>
        <w:tc>
          <w:tcPr>
            <w:tcW w:w="2587" w:type="dxa"/>
          </w:tcPr>
          <w:p w14:paraId="084FC76E" w14:textId="49E1BA6E" w:rsidR="0043198C" w:rsidRPr="0014082B" w:rsidRDefault="0043198C" w:rsidP="0043198C">
            <w:pPr>
              <w:pStyle w:val="bullet"/>
              <w:numPr>
                <w:ilvl w:val="0"/>
                <w:numId w:val="0"/>
              </w:numPr>
              <w:spacing w:before="0" w:after="0"/>
              <w:jc w:val="left"/>
              <w:rPr>
                <w:lang w:val="en-US"/>
              </w:rPr>
            </w:pPr>
            <w:r>
              <w:rPr>
                <w:lang w:val="en-US"/>
              </w:rPr>
              <w:t xml:space="preserve">No problem, as in this case, the DMRS is not beam formed to a particular UE and the </w:t>
            </w:r>
            <w:r>
              <w:t>different decoding candidates of different UEs in different symbols can share the same DMRS</w:t>
            </w:r>
          </w:p>
        </w:tc>
        <w:tc>
          <w:tcPr>
            <w:tcW w:w="2825" w:type="dxa"/>
          </w:tcPr>
          <w:p w14:paraId="77A27A5C" w14:textId="7E8101C2" w:rsidR="0043198C" w:rsidRPr="0014082B" w:rsidRDefault="0043198C" w:rsidP="0043198C">
            <w:pPr>
              <w:pStyle w:val="bullet"/>
              <w:numPr>
                <w:ilvl w:val="0"/>
                <w:numId w:val="0"/>
              </w:numPr>
              <w:spacing w:before="0" w:after="0"/>
              <w:jc w:val="left"/>
              <w:rPr>
                <w:lang w:val="en-US"/>
              </w:rPr>
            </w:pPr>
            <w:r>
              <w:rPr>
                <w:lang w:val="en-US"/>
              </w:rPr>
              <w:t>No problem</w:t>
            </w:r>
          </w:p>
        </w:tc>
        <w:tc>
          <w:tcPr>
            <w:tcW w:w="2504" w:type="dxa"/>
          </w:tcPr>
          <w:p w14:paraId="0081E987" w14:textId="42AA9A63" w:rsidR="0043198C" w:rsidRDefault="00970E72" w:rsidP="0043198C">
            <w:pPr>
              <w:pStyle w:val="bullet"/>
              <w:numPr>
                <w:ilvl w:val="0"/>
                <w:numId w:val="0"/>
              </w:numPr>
              <w:spacing w:before="0" w:after="0"/>
              <w:rPr>
                <w:lang w:val="en-US"/>
              </w:rPr>
            </w:pPr>
            <w:r>
              <w:rPr>
                <w:lang w:val="en-US"/>
              </w:rPr>
              <w:t>No problem</w:t>
            </w:r>
          </w:p>
        </w:tc>
      </w:tr>
      <w:tr w:rsidR="0043198C" w14:paraId="32C2ED37" w14:textId="12E884D6" w:rsidTr="0043198C">
        <w:tc>
          <w:tcPr>
            <w:tcW w:w="1713" w:type="dxa"/>
          </w:tcPr>
          <w:p w14:paraId="64DF7BB8" w14:textId="30FE4563" w:rsidR="0043198C" w:rsidRDefault="0043198C" w:rsidP="0043198C">
            <w:pPr>
              <w:pStyle w:val="bullet"/>
              <w:numPr>
                <w:ilvl w:val="0"/>
                <w:numId w:val="0"/>
              </w:numPr>
              <w:spacing w:before="0" w:after="0"/>
              <w:jc w:val="left"/>
              <w:rPr>
                <w:lang w:val="en-US"/>
              </w:rPr>
            </w:pPr>
            <w:r>
              <w:rPr>
                <w:lang w:val="en-US"/>
              </w:rPr>
              <w:t>Coexistence with group common PDCCH (assume frequency first)</w:t>
            </w:r>
          </w:p>
        </w:tc>
        <w:tc>
          <w:tcPr>
            <w:tcW w:w="2587" w:type="dxa"/>
          </w:tcPr>
          <w:p w14:paraId="6C9A1F34" w14:textId="51BD20BF" w:rsidR="0043198C" w:rsidRDefault="0043198C" w:rsidP="0043198C">
            <w:pPr>
              <w:pStyle w:val="bullet"/>
              <w:numPr>
                <w:ilvl w:val="0"/>
                <w:numId w:val="0"/>
              </w:numPr>
              <w:spacing w:before="0" w:after="0"/>
              <w:jc w:val="left"/>
              <w:rPr>
                <w:lang w:val="en-US"/>
              </w:rPr>
            </w:pPr>
            <w:r>
              <w:rPr>
                <w:lang w:val="en-US"/>
              </w:rPr>
              <w:t xml:space="preserve">Coexist nicely </w:t>
            </w:r>
          </w:p>
        </w:tc>
        <w:tc>
          <w:tcPr>
            <w:tcW w:w="2825" w:type="dxa"/>
          </w:tcPr>
          <w:p w14:paraId="6FABF42A" w14:textId="74173400" w:rsidR="0043198C" w:rsidRDefault="00970E72" w:rsidP="00970E72">
            <w:pPr>
              <w:pStyle w:val="bullet"/>
              <w:numPr>
                <w:ilvl w:val="0"/>
                <w:numId w:val="0"/>
              </w:numPr>
              <w:spacing w:before="0" w:after="0"/>
              <w:jc w:val="left"/>
              <w:rPr>
                <w:lang w:val="en-US"/>
              </w:rPr>
            </w:pPr>
            <w:r>
              <w:rPr>
                <w:lang w:val="en-US"/>
              </w:rPr>
              <w:t>Higher</w:t>
            </w:r>
            <w:r w:rsidR="0043198C">
              <w:rPr>
                <w:lang w:val="en-US"/>
              </w:rPr>
              <w:t xml:space="preserve"> blocking </w:t>
            </w:r>
            <w:r>
              <w:rPr>
                <w:lang w:val="en-US"/>
              </w:rPr>
              <w:t>probability</w:t>
            </w:r>
          </w:p>
        </w:tc>
        <w:tc>
          <w:tcPr>
            <w:tcW w:w="2504" w:type="dxa"/>
          </w:tcPr>
          <w:p w14:paraId="7D3CC055" w14:textId="3893722B" w:rsidR="0043198C" w:rsidRDefault="00970E72" w:rsidP="0043198C">
            <w:pPr>
              <w:pStyle w:val="bullet"/>
              <w:numPr>
                <w:ilvl w:val="0"/>
                <w:numId w:val="0"/>
              </w:numPr>
              <w:spacing w:before="0" w:after="0"/>
              <w:rPr>
                <w:lang w:val="en-US"/>
              </w:rPr>
            </w:pPr>
            <w:r>
              <w:rPr>
                <w:lang w:val="en-US"/>
              </w:rPr>
              <w:t>Depends on the AL of the group common PDCCH. If group common PDCCH is AL1, it can coexist with AL1 PDCCH under mixed approach. For higher PDCCH AL, there seems to be problem.</w:t>
            </w:r>
          </w:p>
        </w:tc>
      </w:tr>
      <w:tr w:rsidR="00474DBC" w14:paraId="3D6C3C5B" w14:textId="77777777" w:rsidTr="0043198C">
        <w:tc>
          <w:tcPr>
            <w:tcW w:w="1713" w:type="dxa"/>
          </w:tcPr>
          <w:p w14:paraId="3B8A1C49" w14:textId="7426FA01" w:rsidR="00474DBC" w:rsidRDefault="00474DBC" w:rsidP="00474DBC">
            <w:pPr>
              <w:pStyle w:val="bullet"/>
              <w:numPr>
                <w:ilvl w:val="0"/>
                <w:numId w:val="0"/>
              </w:numPr>
              <w:spacing w:before="0" w:after="0"/>
              <w:jc w:val="left"/>
              <w:rPr>
                <w:lang w:val="en-US"/>
              </w:rPr>
            </w:pPr>
            <w:r>
              <w:rPr>
                <w:lang w:val="en-US"/>
              </w:rPr>
              <w:t>Blind decoding sharing with 1 symbol control</w:t>
            </w:r>
          </w:p>
        </w:tc>
        <w:tc>
          <w:tcPr>
            <w:tcW w:w="2587" w:type="dxa"/>
          </w:tcPr>
          <w:p w14:paraId="3C6BE4FA" w14:textId="5356824D" w:rsidR="00474DBC" w:rsidRDefault="00474DBC" w:rsidP="00474DBC">
            <w:pPr>
              <w:pStyle w:val="bullet"/>
              <w:numPr>
                <w:ilvl w:val="0"/>
                <w:numId w:val="0"/>
              </w:numPr>
              <w:spacing w:before="0" w:after="0"/>
              <w:jc w:val="left"/>
              <w:rPr>
                <w:lang w:val="en-US"/>
              </w:rPr>
            </w:pPr>
            <w:r>
              <w:rPr>
                <w:lang w:val="en-US"/>
              </w:rPr>
              <w:t xml:space="preserve">Naturally shared in the sense </w:t>
            </w:r>
            <w:r w:rsidR="00893773">
              <w:rPr>
                <w:lang w:val="en-US"/>
              </w:rPr>
              <w:t>decoding candidates under 1 OFDM symbol control is a subset of multiple OFDM symbol control</w:t>
            </w:r>
          </w:p>
        </w:tc>
        <w:tc>
          <w:tcPr>
            <w:tcW w:w="2825" w:type="dxa"/>
          </w:tcPr>
          <w:p w14:paraId="123C171A" w14:textId="139597B9" w:rsidR="00474DBC" w:rsidRDefault="00893773" w:rsidP="00474DBC">
            <w:pPr>
              <w:pStyle w:val="bullet"/>
              <w:numPr>
                <w:ilvl w:val="0"/>
                <w:numId w:val="0"/>
              </w:numPr>
              <w:spacing w:before="0" w:after="0"/>
              <w:jc w:val="left"/>
              <w:rPr>
                <w:lang w:val="en-US"/>
              </w:rPr>
            </w:pPr>
            <w:r>
              <w:rPr>
                <w:lang w:val="en-US"/>
              </w:rPr>
              <w:t>Separate sets of blind decoding under the assumptions of one OFDM symbol control and multiple OFDM symbols control</w:t>
            </w:r>
            <w:r w:rsidR="00845014">
              <w:rPr>
                <w:lang w:val="en-US"/>
              </w:rPr>
              <w:t>. This may lead to more blind decodings.</w:t>
            </w:r>
          </w:p>
        </w:tc>
        <w:tc>
          <w:tcPr>
            <w:tcW w:w="2504" w:type="dxa"/>
          </w:tcPr>
          <w:p w14:paraId="264EF07A" w14:textId="4A4CC940" w:rsidR="00474DBC" w:rsidRDefault="00893773" w:rsidP="00474DBC">
            <w:pPr>
              <w:pStyle w:val="bullet"/>
              <w:numPr>
                <w:ilvl w:val="0"/>
                <w:numId w:val="0"/>
              </w:numPr>
              <w:spacing w:before="0" w:after="0"/>
              <w:jc w:val="left"/>
              <w:rPr>
                <w:lang w:val="en-US"/>
              </w:rPr>
            </w:pPr>
            <w:r>
              <w:rPr>
                <w:lang w:val="en-US"/>
              </w:rPr>
              <w:t>Only AL1 decoding candidates are shared</w:t>
            </w:r>
          </w:p>
        </w:tc>
      </w:tr>
    </w:tbl>
    <w:p w14:paraId="6A3FDE78" w14:textId="77777777" w:rsidR="008E4C61" w:rsidRPr="009E34F2" w:rsidRDefault="008E4C61" w:rsidP="008E4C61">
      <w:pPr>
        <w:pStyle w:val="bullet"/>
        <w:numPr>
          <w:ilvl w:val="0"/>
          <w:numId w:val="0"/>
        </w:numPr>
        <w:rPr>
          <w:lang w:val="en-US"/>
        </w:rPr>
      </w:pPr>
      <w:bookmarkStart w:id="3" w:name="_GoBack"/>
      <w:bookmarkEnd w:id="3"/>
    </w:p>
    <w:p w14:paraId="12E5D30D" w14:textId="7AE9BC2A" w:rsidR="000E564D" w:rsidRDefault="00970E72" w:rsidP="000E564D">
      <w:pPr>
        <w:rPr>
          <w:lang w:val="en-GB"/>
        </w:rPr>
      </w:pPr>
      <w:r>
        <w:rPr>
          <w:lang w:val="en-GB"/>
        </w:rPr>
        <w:t>As a trade</w:t>
      </w:r>
      <w:r w:rsidR="00474DBC">
        <w:rPr>
          <w:lang w:val="en-GB"/>
        </w:rPr>
        <w:t>-</w:t>
      </w:r>
      <w:r>
        <w:rPr>
          <w:lang w:val="en-GB"/>
        </w:rPr>
        <w:t>off of all the pros and cons, we have the following proposals:</w:t>
      </w:r>
    </w:p>
    <w:p w14:paraId="4CB389F6" w14:textId="06691DDB" w:rsidR="00970E72" w:rsidRPr="000C2391" w:rsidRDefault="00970E72" w:rsidP="000E564D">
      <w:pPr>
        <w:rPr>
          <w:b/>
          <w:lang w:val="en-GB"/>
        </w:rPr>
      </w:pPr>
      <w:bookmarkStart w:id="4" w:name="p2"/>
      <w:r w:rsidRPr="000C2391">
        <w:rPr>
          <w:b/>
          <w:lang w:val="en-GB"/>
        </w:rPr>
        <w:t xml:space="preserve">Proposal </w:t>
      </w:r>
      <w:r w:rsidRPr="000C2391">
        <w:rPr>
          <w:b/>
          <w:lang w:val="en-GB"/>
        </w:rPr>
        <w:fldChar w:fldCharType="begin"/>
      </w:r>
      <w:r w:rsidRPr="000C2391">
        <w:rPr>
          <w:b/>
          <w:lang w:val="en-GB"/>
        </w:rPr>
        <w:instrText xml:space="preserve"> seq prop </w:instrText>
      </w:r>
      <w:r w:rsidRPr="000C2391">
        <w:rPr>
          <w:b/>
          <w:lang w:val="en-GB"/>
        </w:rPr>
        <w:fldChar w:fldCharType="separate"/>
      </w:r>
      <w:r w:rsidRPr="000C2391">
        <w:rPr>
          <w:b/>
          <w:noProof/>
          <w:lang w:val="en-GB"/>
        </w:rPr>
        <w:t>2</w:t>
      </w:r>
      <w:r w:rsidRPr="000C2391">
        <w:rPr>
          <w:b/>
          <w:lang w:val="en-GB"/>
        </w:rPr>
        <w:fldChar w:fldCharType="end"/>
      </w:r>
      <w:r w:rsidRPr="000C2391">
        <w:rPr>
          <w:b/>
          <w:lang w:val="en-GB"/>
        </w:rPr>
        <w:t xml:space="preserve">. </w:t>
      </w:r>
      <w:r w:rsidR="000C2391" w:rsidRPr="000C2391">
        <w:rPr>
          <w:b/>
          <w:lang w:val="en-GB"/>
        </w:rPr>
        <w:t>For the control resource set configured to transmit group common PDCCH, use frequency first mapping.</w:t>
      </w:r>
    </w:p>
    <w:p w14:paraId="09AB0A97" w14:textId="1DACE4F3" w:rsidR="000C2391" w:rsidRPr="00474DBC" w:rsidRDefault="00474DBC" w:rsidP="00474DBC">
      <w:pPr>
        <w:rPr>
          <w:b/>
          <w:lang w:val="en-GB"/>
        </w:rPr>
      </w:pPr>
      <w:bookmarkStart w:id="5" w:name="p3"/>
      <w:bookmarkEnd w:id="4"/>
      <w:r w:rsidRPr="00474DBC">
        <w:rPr>
          <w:b/>
          <w:lang w:val="en-GB"/>
        </w:rPr>
        <w:lastRenderedPageBreak/>
        <w:t xml:space="preserve">Proposal </w:t>
      </w:r>
      <w:r w:rsidRPr="00474DBC">
        <w:rPr>
          <w:b/>
          <w:lang w:val="en-GB"/>
        </w:rPr>
        <w:fldChar w:fldCharType="begin"/>
      </w:r>
      <w:r w:rsidRPr="00474DBC">
        <w:rPr>
          <w:b/>
          <w:lang w:val="en-GB"/>
        </w:rPr>
        <w:instrText xml:space="preserve"> seq prop </w:instrText>
      </w:r>
      <w:r w:rsidRPr="00474DBC">
        <w:rPr>
          <w:b/>
          <w:lang w:val="en-GB"/>
        </w:rPr>
        <w:fldChar w:fldCharType="separate"/>
      </w:r>
      <w:r w:rsidRPr="00474DBC">
        <w:rPr>
          <w:b/>
          <w:noProof/>
          <w:lang w:val="en-GB"/>
        </w:rPr>
        <w:t>3</w:t>
      </w:r>
      <w:r w:rsidRPr="00474DBC">
        <w:rPr>
          <w:b/>
          <w:lang w:val="en-GB"/>
        </w:rPr>
        <w:fldChar w:fldCharType="end"/>
      </w:r>
      <w:r w:rsidRPr="00474DBC">
        <w:rPr>
          <w:b/>
          <w:lang w:val="en-GB"/>
        </w:rPr>
        <w:t xml:space="preserve">. Frequency first mapping is supported for control resource set, </w:t>
      </w:r>
      <w:r>
        <w:rPr>
          <w:b/>
          <w:lang w:val="en-GB"/>
        </w:rPr>
        <w:t xml:space="preserve">mixed mapping is not supported, </w:t>
      </w:r>
      <w:r w:rsidRPr="00474DBC">
        <w:rPr>
          <w:b/>
          <w:lang w:val="en-GB"/>
        </w:rPr>
        <w:t>and FFS if time first mapping is needed for some control resource sets.</w:t>
      </w:r>
    </w:p>
    <w:bookmarkEnd w:id="5"/>
    <w:p w14:paraId="2F77E7C7" w14:textId="7D7DDEB3" w:rsidR="00491EEE" w:rsidRDefault="004A7390" w:rsidP="00843B71">
      <w:pPr>
        <w:pStyle w:val="Heading1"/>
        <w:jc w:val="both"/>
      </w:pPr>
      <w:r>
        <w:t>3</w:t>
      </w:r>
      <w:r w:rsidR="00491EEE" w:rsidRPr="00E05A22">
        <w:tab/>
        <w:t xml:space="preserve">Conclusions </w:t>
      </w:r>
    </w:p>
    <w:p w14:paraId="5B1E3BE4" w14:textId="0CB9B4BE" w:rsidR="00A46F1F" w:rsidRDefault="00474DBC" w:rsidP="00887854">
      <w:pPr>
        <w:rPr>
          <w:lang w:val="en-GB"/>
        </w:rPr>
      </w:pPr>
      <w:r>
        <w:rPr>
          <w:lang w:val="en-GB"/>
        </w:rPr>
        <w:t>In this paper, we compared different ways to define REG to CCE and CCE to PDCCH mapping and have the following proposals.</w:t>
      </w:r>
    </w:p>
    <w:p w14:paraId="2F98B17B" w14:textId="0FDD91B4" w:rsidR="00474DBC" w:rsidRPr="0043198C" w:rsidRDefault="00474DBC" w:rsidP="00990010">
      <w:pPr>
        <w:pStyle w:val="bullet"/>
        <w:numPr>
          <w:ilvl w:val="0"/>
          <w:numId w:val="0"/>
        </w:numPr>
        <w:rPr>
          <w:b/>
        </w:rPr>
      </w:pPr>
      <w:r>
        <w:fldChar w:fldCharType="begin"/>
      </w:r>
      <w:r>
        <w:instrText xml:space="preserve"> REF p1 \h </w:instrText>
      </w:r>
      <w:r>
        <w:fldChar w:fldCharType="separate"/>
      </w:r>
      <w:r w:rsidRPr="0043198C">
        <w:rPr>
          <w:b/>
        </w:rPr>
        <w:t xml:space="preserve">Proposal </w:t>
      </w:r>
      <w:r w:rsidRPr="0043198C">
        <w:rPr>
          <w:b/>
          <w:noProof/>
        </w:rPr>
        <w:t>1</w:t>
      </w:r>
      <w:r w:rsidRPr="0043198C">
        <w:rPr>
          <w:b/>
        </w:rPr>
        <w:t>. The same REG to CCE to PDCCH mapping is used in a coreset.</w:t>
      </w:r>
    </w:p>
    <w:p w14:paraId="0376BE40" w14:textId="7D6D3F0A" w:rsidR="00474DBC" w:rsidRPr="000C2391" w:rsidRDefault="00474DBC" w:rsidP="000E564D">
      <w:pPr>
        <w:rPr>
          <w:b/>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Pr="000C2391">
        <w:rPr>
          <w:b/>
          <w:lang w:val="en-GB"/>
        </w:rPr>
        <w:t xml:space="preserve">Proposal </w:t>
      </w:r>
      <w:r w:rsidRPr="000C2391">
        <w:rPr>
          <w:b/>
          <w:noProof/>
          <w:lang w:val="en-GB"/>
        </w:rPr>
        <w:t>2</w:t>
      </w:r>
      <w:r w:rsidRPr="000C2391">
        <w:rPr>
          <w:b/>
          <w:lang w:val="en-GB"/>
        </w:rPr>
        <w:t>. For the control resource set configured to transmit group common PDCCH, use frequency first mapping.</w:t>
      </w:r>
    </w:p>
    <w:p w14:paraId="5AA95431" w14:textId="2D0FBE68" w:rsidR="00474DBC" w:rsidRPr="00474DBC" w:rsidRDefault="00474DBC" w:rsidP="00474DBC">
      <w:pPr>
        <w:rPr>
          <w:b/>
          <w:lang w:val="en-G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Pr="00474DBC">
        <w:rPr>
          <w:b/>
          <w:lang w:val="en-GB"/>
        </w:rPr>
        <w:t xml:space="preserve">Proposal </w:t>
      </w:r>
      <w:r w:rsidRPr="00474DBC">
        <w:rPr>
          <w:b/>
          <w:noProof/>
          <w:lang w:val="en-GB"/>
        </w:rPr>
        <w:t>3</w:t>
      </w:r>
      <w:r w:rsidRPr="00474DBC">
        <w:rPr>
          <w:b/>
          <w:lang w:val="en-GB"/>
        </w:rPr>
        <w:t xml:space="preserve">. Frequency first mapping is supported for control resource set, </w:t>
      </w:r>
      <w:r>
        <w:rPr>
          <w:b/>
          <w:lang w:val="en-GB"/>
        </w:rPr>
        <w:t xml:space="preserve">mixed mapping is not supported, </w:t>
      </w:r>
      <w:r w:rsidRPr="00474DBC">
        <w:rPr>
          <w:b/>
          <w:lang w:val="en-GB"/>
        </w:rPr>
        <w:t>and FFS if time first mapping is needed for some control resource sets.</w:t>
      </w:r>
    </w:p>
    <w:p w14:paraId="4B578A21" w14:textId="2127BF20" w:rsidR="00474DBC" w:rsidRDefault="00474DBC" w:rsidP="00887854">
      <w:pPr>
        <w:rPr>
          <w:lang w:val="en-GB"/>
        </w:rPr>
      </w:pPr>
      <w:r>
        <w:rPr>
          <w:lang w:val="en-GB"/>
        </w:rPr>
        <w:fldChar w:fldCharType="end"/>
      </w:r>
    </w:p>
    <w:p w14:paraId="0117461B" w14:textId="77777777" w:rsidR="00C77113" w:rsidRPr="00526653" w:rsidRDefault="00C77113" w:rsidP="00FD3822">
      <w:pPr>
        <w:jc w:val="cente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629E8" w14:textId="77777777" w:rsidR="00B7260F" w:rsidRDefault="00B7260F">
      <w:r>
        <w:separator/>
      </w:r>
    </w:p>
  </w:endnote>
  <w:endnote w:type="continuationSeparator" w:id="0">
    <w:p w14:paraId="267C7086" w14:textId="77777777" w:rsidR="00B7260F" w:rsidRDefault="00B7260F">
      <w:r>
        <w:continuationSeparator/>
      </w:r>
    </w:p>
  </w:endnote>
  <w:endnote w:type="continuationNotice" w:id="1">
    <w:p w14:paraId="7DF4DB53" w14:textId="77777777" w:rsidR="00B7260F" w:rsidRDefault="00B72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0E564D" w:rsidRDefault="000E564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0E564D" w:rsidRDefault="000E564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3B5AB27" w:rsidR="000E564D" w:rsidRDefault="000E564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34F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34F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207EB" w14:textId="77777777" w:rsidR="00B7260F" w:rsidRDefault="00B7260F">
      <w:r>
        <w:separator/>
      </w:r>
    </w:p>
  </w:footnote>
  <w:footnote w:type="continuationSeparator" w:id="0">
    <w:p w14:paraId="3056E723" w14:textId="77777777" w:rsidR="00B7260F" w:rsidRDefault="00B7260F">
      <w:r>
        <w:continuationSeparator/>
      </w:r>
    </w:p>
  </w:footnote>
  <w:footnote w:type="continuationNotice" w:id="1">
    <w:p w14:paraId="14F73CAD" w14:textId="77777777" w:rsidR="00B7260F" w:rsidRDefault="00B72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0E564D" w:rsidRDefault="000E564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70C9F"/>
    <w:multiLevelType w:val="hybridMultilevel"/>
    <w:tmpl w:val="B652D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0484F"/>
    <w:multiLevelType w:val="hybridMultilevel"/>
    <w:tmpl w:val="6C4E7EAA"/>
    <w:lvl w:ilvl="0" w:tplc="D548C82C">
      <w:start w:val="1"/>
      <w:numFmt w:val="bullet"/>
      <w:pStyle w:val="bullet"/>
      <w:lvlText w:val=""/>
      <w:lvlJc w:val="left"/>
      <w:pPr>
        <w:ind w:left="2970" w:hanging="360"/>
      </w:pPr>
      <w:rPr>
        <w:rFonts w:ascii="Symbol" w:hAnsi="Symbol" w:hint="default"/>
      </w:rPr>
    </w:lvl>
    <w:lvl w:ilvl="1" w:tplc="04090003">
      <w:start w:val="1"/>
      <w:numFmt w:val="bullet"/>
      <w:lvlText w:val="o"/>
      <w:lvlJc w:val="left"/>
      <w:pPr>
        <w:ind w:left="3794" w:hanging="360"/>
      </w:pPr>
      <w:rPr>
        <w:rFonts w:ascii="Courier New" w:hAnsi="Courier New" w:cs="Courier New" w:hint="default"/>
      </w:rPr>
    </w:lvl>
    <w:lvl w:ilvl="2" w:tplc="04090005" w:tentative="1">
      <w:start w:val="1"/>
      <w:numFmt w:val="bullet"/>
      <w:lvlText w:val=""/>
      <w:lvlJc w:val="left"/>
      <w:pPr>
        <w:ind w:left="4514" w:hanging="360"/>
      </w:pPr>
      <w:rPr>
        <w:rFonts w:ascii="Wingdings" w:hAnsi="Wingdings" w:hint="default"/>
      </w:rPr>
    </w:lvl>
    <w:lvl w:ilvl="3" w:tplc="04090001" w:tentative="1">
      <w:start w:val="1"/>
      <w:numFmt w:val="bullet"/>
      <w:lvlText w:val=""/>
      <w:lvlJc w:val="left"/>
      <w:pPr>
        <w:ind w:left="5234" w:hanging="360"/>
      </w:pPr>
      <w:rPr>
        <w:rFonts w:ascii="Symbol" w:hAnsi="Symbol" w:hint="default"/>
      </w:rPr>
    </w:lvl>
    <w:lvl w:ilvl="4" w:tplc="04090003" w:tentative="1">
      <w:start w:val="1"/>
      <w:numFmt w:val="bullet"/>
      <w:lvlText w:val="o"/>
      <w:lvlJc w:val="left"/>
      <w:pPr>
        <w:ind w:left="5954" w:hanging="360"/>
      </w:pPr>
      <w:rPr>
        <w:rFonts w:ascii="Courier New" w:hAnsi="Courier New" w:cs="Courier New" w:hint="default"/>
      </w:rPr>
    </w:lvl>
    <w:lvl w:ilvl="5" w:tplc="04090005" w:tentative="1">
      <w:start w:val="1"/>
      <w:numFmt w:val="bullet"/>
      <w:lvlText w:val=""/>
      <w:lvlJc w:val="left"/>
      <w:pPr>
        <w:ind w:left="6674" w:hanging="360"/>
      </w:pPr>
      <w:rPr>
        <w:rFonts w:ascii="Wingdings" w:hAnsi="Wingdings" w:hint="default"/>
      </w:rPr>
    </w:lvl>
    <w:lvl w:ilvl="6" w:tplc="04090001" w:tentative="1">
      <w:start w:val="1"/>
      <w:numFmt w:val="bullet"/>
      <w:lvlText w:val=""/>
      <w:lvlJc w:val="left"/>
      <w:pPr>
        <w:ind w:left="7394" w:hanging="360"/>
      </w:pPr>
      <w:rPr>
        <w:rFonts w:ascii="Symbol" w:hAnsi="Symbol" w:hint="default"/>
      </w:rPr>
    </w:lvl>
    <w:lvl w:ilvl="7" w:tplc="04090003" w:tentative="1">
      <w:start w:val="1"/>
      <w:numFmt w:val="bullet"/>
      <w:lvlText w:val="o"/>
      <w:lvlJc w:val="left"/>
      <w:pPr>
        <w:ind w:left="8114" w:hanging="360"/>
      </w:pPr>
      <w:rPr>
        <w:rFonts w:ascii="Courier New" w:hAnsi="Courier New" w:cs="Courier New" w:hint="default"/>
      </w:rPr>
    </w:lvl>
    <w:lvl w:ilvl="8" w:tplc="04090005" w:tentative="1">
      <w:start w:val="1"/>
      <w:numFmt w:val="bullet"/>
      <w:lvlText w:val=""/>
      <w:lvlJc w:val="left"/>
      <w:pPr>
        <w:ind w:left="8834" w:hanging="360"/>
      </w:pPr>
      <w:rPr>
        <w:rFonts w:ascii="Wingdings" w:hAnsi="Wingdings" w:hint="default"/>
      </w:rPr>
    </w:lvl>
  </w:abstractNum>
  <w:abstractNum w:abstractNumId="8"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167D39"/>
    <w:multiLevelType w:val="hybridMultilevel"/>
    <w:tmpl w:val="090EB8D6"/>
    <w:lvl w:ilvl="0" w:tplc="5C9EB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3"/>
  </w:num>
  <w:num w:numId="2">
    <w:abstractNumId w:val="2"/>
  </w:num>
  <w:num w:numId="3">
    <w:abstractNumId w:val="20"/>
  </w:num>
  <w:num w:numId="4">
    <w:abstractNumId w:val="1"/>
  </w:num>
  <w:num w:numId="5">
    <w:abstractNumId w:val="11"/>
  </w:num>
  <w:num w:numId="6">
    <w:abstractNumId w:val="30"/>
  </w:num>
  <w:num w:numId="7">
    <w:abstractNumId w:val="15"/>
  </w:num>
  <w:num w:numId="8">
    <w:abstractNumId w:val="17"/>
  </w:num>
  <w:num w:numId="9">
    <w:abstractNumId w:val="14"/>
  </w:num>
  <w:num w:numId="10">
    <w:abstractNumId w:val="26"/>
  </w:num>
  <w:num w:numId="11">
    <w:abstractNumId w:val="4"/>
  </w:num>
  <w:num w:numId="12">
    <w:abstractNumId w:val="12"/>
  </w:num>
  <w:num w:numId="13">
    <w:abstractNumId w:val="6"/>
  </w:num>
  <w:num w:numId="14">
    <w:abstractNumId w:val="8"/>
  </w:num>
  <w:num w:numId="15">
    <w:abstractNumId w:val="21"/>
  </w:num>
  <w:num w:numId="16">
    <w:abstractNumId w:val="24"/>
  </w:num>
  <w:num w:numId="17">
    <w:abstractNumId w:val="10"/>
  </w:num>
  <w:num w:numId="18">
    <w:abstractNumId w:val="31"/>
  </w:num>
  <w:num w:numId="19">
    <w:abstractNumId w:val="22"/>
  </w:num>
  <w:num w:numId="20">
    <w:abstractNumId w:val="25"/>
  </w:num>
  <w:num w:numId="21">
    <w:abstractNumId w:val="9"/>
  </w:num>
  <w:num w:numId="22">
    <w:abstractNumId w:val="29"/>
  </w:num>
  <w:num w:numId="23">
    <w:abstractNumId w:val="28"/>
  </w:num>
  <w:num w:numId="24">
    <w:abstractNumId w:val="18"/>
  </w:num>
  <w:num w:numId="25">
    <w:abstractNumId w:val="0"/>
  </w:num>
  <w:num w:numId="26">
    <w:abstractNumId w:val="3"/>
  </w:num>
  <w:num w:numId="27">
    <w:abstractNumId w:val="27"/>
  </w:num>
  <w:num w:numId="28">
    <w:abstractNumId w:val="19"/>
  </w:num>
  <w:num w:numId="29">
    <w:abstractNumId w:val="16"/>
  </w:num>
  <w:num w:numId="30">
    <w:abstractNumId w:val="23"/>
  </w:num>
  <w:num w:numId="31">
    <w:abstractNumId w:val="33"/>
  </w:num>
  <w:num w:numId="32">
    <w:abstractNumId w:val="5"/>
  </w:num>
  <w:num w:numId="33">
    <w:abstractNumId w:val="32"/>
  </w:num>
  <w:num w:numId="34">
    <w:abstractNumId w:val="7"/>
  </w:num>
  <w:num w:numId="3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00C7"/>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68C"/>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3228"/>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06B"/>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4F2"/>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60F"/>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990010"/>
    <w:pPr>
      <w:numPr>
        <w:numId w:val="34"/>
      </w:numPr>
      <w:spacing w:after="120"/>
    </w:pPr>
    <w:rPr>
      <w:lang w:val="en-GB"/>
    </w:rPr>
  </w:style>
  <w:style w:type="character" w:customStyle="1" w:styleId="bulletChar">
    <w:name w:val="bullet Char"/>
    <w:basedOn w:val="B10"/>
    <w:link w:val="bullet"/>
    <w:rsid w:val="00990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HR33RHYHUWRF-4-1697</_dlc_DocId>
    <_dlc_DocIdUrl xmlns="c06861ca-3f08-4d07-bff7-bb15bac121f4">
      <Url>https://projects.qualcomm.com/sites/pentari/_layouts/15/DocIdRedir.aspx?ID=HR33RHYHUWRF-4-1697</Url>
      <Description>HR33RHYHUWRF-4-1697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infopath/2007/PartnerControls"/>
    <ds:schemaRef ds:uri="http://purl.org/dc/terms/"/>
    <ds:schemaRef ds:uri="http://schemas.openxmlformats.org/package/2006/metadata/core-properties"/>
    <ds:schemaRef ds:uri="http://purl.org/dc/elements/1.1/"/>
    <ds:schemaRef ds:uri="http://schemas.microsoft.com/office/2006/metadata/properties"/>
    <ds:schemaRef ds:uri="http://www.w3.org/XML/1998/namespace"/>
    <ds:schemaRef ds:uri="c06861ca-3f08-4d07-bff7-bb15bac121f4"/>
    <ds:schemaRef ds:uri="http://purl.org/dc/dcmitype/"/>
    <ds:schemaRef ds:uri="http://schemas.microsoft.com/office/2006/documentManagement/typ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8527D154-D1AE-4A90-BB3B-81A14287F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1402</TotalTime>
  <Pages>3</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32</cp:revision>
  <cp:lastPrinted>2010-10-04T23:31:00Z</cp:lastPrinted>
  <dcterms:created xsi:type="dcterms:W3CDTF">2016-08-10T22:12:00Z</dcterms:created>
  <dcterms:modified xsi:type="dcterms:W3CDTF">2017-02-07T03:35:00Z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9222f5d1-905e-4361-b668-8ae8e9218ba2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